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240" w:lineRule="auto"/>
        <w:jc w:val="center"/>
        <w:rPr>
          <w:b w:val="1"/>
          <w:color w:val="0070c0"/>
          <w:sz w:val="52"/>
          <w:szCs w:val="52"/>
        </w:rPr>
      </w:pPr>
      <w:r w:rsidDel="00000000" w:rsidR="00000000" w:rsidRPr="00000000">
        <w:rPr>
          <w:b w:val="1"/>
          <w:color w:val="0070c0"/>
          <w:sz w:val="52"/>
          <w:szCs w:val="52"/>
          <w:rtl w:val="0"/>
        </w:rPr>
        <w:t xml:space="preserve">UBND XÃ NHƠN HẢI</w:t>
      </w:r>
    </w:p>
    <w:p w:rsidR="00000000" w:rsidDel="00000000" w:rsidP="00000000" w:rsidRDefault="00000000" w:rsidRPr="00000000" w14:paraId="00000002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b w:val="1"/>
          <w:color w:val="0070c0"/>
          <w:sz w:val="60"/>
          <w:szCs w:val="60"/>
        </w:rPr>
        <w:drawing>
          <wp:inline distB="114300" distT="114300" distL="114300" distR="114300">
            <wp:extent cx="4891088" cy="48910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91088" cy="48910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color w:val="0070c0"/>
          <w:sz w:val="44"/>
          <w:szCs w:val="44"/>
        </w:rPr>
      </w:pPr>
      <w:r w:rsidDel="00000000" w:rsidR="00000000" w:rsidRPr="00000000">
        <w:rPr>
          <w:b w:val="1"/>
          <w:color w:val="0070c0"/>
          <w:sz w:val="44"/>
          <w:szCs w:val="44"/>
          <w:rtl w:val="0"/>
        </w:rPr>
        <w:t xml:space="preserve">ĐỀ NGHỊ QUÝ KHÁCH SỬ DỤNG CHỨC NĂNG “QUÉT MÃ QR” CỦA CÁC ỨNG DỤNG BLUEZONE/NCOVI/VIETNAM HEALTH DECLARATION ĐỂ QUÉT MÃ QR KHI ĐẾN LIÊN HỆ CÔNG TÁC </w:t>
      </w:r>
    </w:p>
    <w:p w:rsidR="00000000" w:rsidDel="00000000" w:rsidP="00000000" w:rsidRDefault="00000000" w:rsidRPr="00000000" w14:paraId="00000004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